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8A73" w14:textId="0EE7DE75" w:rsidR="00EE3621" w:rsidRDefault="00EE3621" w:rsidP="009F1152"/>
    <w:sdt>
      <w:sdtPr>
        <w:rPr>
          <w:rFonts w:asciiTheme="majorHAnsi" w:eastAsiaTheme="majorEastAsia" w:hAnsiTheme="majorHAnsi" w:cstheme="majorBidi"/>
          <w:color w:val="156082" w:themeColor="accent1"/>
          <w:sz w:val="56"/>
          <w:szCs w:val="56"/>
        </w:rPr>
        <w:alias w:val="Título"/>
        <w:id w:val="-99156138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203657C1" w14:textId="6F16BD46" w:rsidR="006D5F44" w:rsidRPr="006D5F44" w:rsidRDefault="006D5F44" w:rsidP="006D5F44">
          <w:pPr>
            <w:spacing w:line="240" w:lineRule="auto"/>
            <w:rPr>
              <w:rFonts w:asciiTheme="majorHAnsi" w:eastAsiaTheme="majorEastAsia" w:hAnsiTheme="majorHAnsi" w:cstheme="majorBidi"/>
              <w:color w:val="156082" w:themeColor="accent1"/>
              <w:sz w:val="56"/>
              <w:szCs w:val="56"/>
            </w:rPr>
          </w:pPr>
          <w:r w:rsidRPr="006D5F44">
            <w:rPr>
              <w:rFonts w:asciiTheme="majorHAnsi" w:eastAsiaTheme="majorEastAsia" w:hAnsiTheme="majorHAnsi" w:cstheme="majorBidi"/>
              <w:color w:val="156082" w:themeColor="accent1"/>
              <w:sz w:val="56"/>
              <w:szCs w:val="56"/>
            </w:rPr>
            <w:t>Nanotecnología y Biotecnología</w:t>
          </w:r>
        </w:p>
      </w:sdtContent>
    </w:sdt>
    <w:p w14:paraId="0F217740" w14:textId="60971CBD" w:rsidR="009F1152" w:rsidRDefault="009F1152" w:rsidP="009F1152">
      <w:r w:rsidRPr="009F1152">
        <w:t>En conclusión, el siglo XXI está siendo testigo de avances revolucionarios en nanotecnología y biotecnología, los cuales están redefiniendo el panorama empresarial y ofreciendo nuevas oportunidades y desafíos</w:t>
      </w:r>
      <w:r w:rsidR="00EE3621">
        <w:t>, e</w:t>
      </w:r>
      <w:r w:rsidRPr="009F1152">
        <w:t>stas tecnologías emergentes no solo prometen transformar industrias clave como la salud, la agricultura y la electrónica, sino que también presentan un potencial significativo para la creación de valor y el desarrollo de mercados innovadores</w:t>
      </w:r>
      <w:r w:rsidR="00EE3621">
        <w:t>, p</w:t>
      </w:r>
      <w:r w:rsidRPr="009F1152">
        <w:t>ara los futuros líderes empresariales, entender y gestionar la integración de estas tecnologías es fundamental para capitalizar sus beneficios y enfrentar los desafíos éticos y regulatorios que conllevan</w:t>
      </w:r>
      <w:r w:rsidR="00EE3621">
        <w:t>, l</w:t>
      </w:r>
      <w:r w:rsidRPr="009F1152">
        <w:t>a capacidad para adaptarse a estos cambios y anticipar sus implicaciones será decisiva para el éxito en un entorno globalizado y competitivo.</w:t>
      </w:r>
    </w:p>
    <w:p w14:paraId="56D774B6" w14:textId="77777777" w:rsidR="00CE71BB" w:rsidRDefault="009F1152" w:rsidP="00EE3621">
      <w:r>
        <w:t>Es esencial mantener una perspectiva crítica y bien informada sobre cualquier material emergente, incluido el grafeno, las investigaciones continuas y la comprensión de sus limitaciones ayudarán a maximizar su potencial y a evitar sorpresas en aplicaciones prácticas.</w:t>
      </w:r>
      <w:r w:rsidR="00EE3621">
        <w:t xml:space="preserve"> </w:t>
      </w:r>
    </w:p>
    <w:p w14:paraId="3F35B40B" w14:textId="39DFB960" w:rsidR="00EE3621" w:rsidRDefault="00EE3621" w:rsidP="00EE3621">
      <w:r>
        <w:t>El grafeno es un material con un futuro prometedor debido a sus excepcionales propiedades, pero su éxito en aplicaciones prácticas dependerá de superar desafíos técnicos y económicos.</w:t>
      </w:r>
    </w:p>
    <w:p w14:paraId="1793B852" w14:textId="6C094E02" w:rsidR="00EE3621" w:rsidRDefault="00EE3621" w:rsidP="00EE3621">
      <w:r w:rsidRPr="00EE3621">
        <w:t>La biotecnología es un campo dinámico y en expansión que ofrece soluciones innovadoras para una amplia gama de desafíos globales</w:t>
      </w:r>
      <w:r>
        <w:t>, s</w:t>
      </w:r>
      <w:r w:rsidRPr="00EE3621">
        <w:t>us aplicaciones abarcan desde la salud y la agricultura hasta la industria y el medio ambiente</w:t>
      </w:r>
      <w:r>
        <w:t>.</w:t>
      </w:r>
    </w:p>
    <w:p w14:paraId="4A3D2CB6" w14:textId="1E75CA15" w:rsidR="00EE3621" w:rsidRDefault="00EE3621" w:rsidP="00EE3621">
      <w:r w:rsidRPr="00EE3621">
        <w:t>La manipulación genética es una herramienta poderosa con el potencial de transformar numerosos campos, desde la medicina hasta la agricultura e industria</w:t>
      </w:r>
      <w:r>
        <w:t>, así como</w:t>
      </w:r>
      <w:r w:rsidRPr="00EE3621">
        <w:t xml:space="preserve"> su aplicación y desarrollo deben ser manejados con cuidado, considerando tanto los beneficios como los riesgos asociados.</w:t>
      </w:r>
    </w:p>
    <w:p w14:paraId="628EF67E" w14:textId="5692D972" w:rsidR="00EE3621" w:rsidRDefault="00CE71BB" w:rsidP="00EE3621">
      <w:r w:rsidRPr="00CE71BB">
        <w:t>Editas Medicine es una empresa pionera en el campo de la edición de genes que aprovecha la tecnología CRISPR-Cas9 para desarrollar terapias innovadoras para enfermedades genéticas y de otro tipo</w:t>
      </w:r>
      <w:r>
        <w:t>, a</w:t>
      </w:r>
      <w:r w:rsidRPr="00CE71BB">
        <w:t xml:space="preserve"> través de su investigación y ensayos clínicos, la empresa pretende transformar el panorama del tratamiento de varias enfermedades graves,</w:t>
      </w:r>
      <w:r>
        <w:t xml:space="preserve"> así como</w:t>
      </w:r>
      <w:r w:rsidRPr="00CE71BB">
        <w:t xml:space="preserve"> abordar los desafíos éticos, técnicos y de seguridad será crucial para la aplicación exitosa y la adopción generalizada de las terapias basadas en CRISPR.</w:t>
      </w:r>
    </w:p>
    <w:sectPr w:rsidR="00EE3621" w:rsidSect="009F1152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2"/>
    <w:rsid w:val="0040428B"/>
    <w:rsid w:val="006D5F44"/>
    <w:rsid w:val="00922912"/>
    <w:rsid w:val="009F1152"/>
    <w:rsid w:val="00CE71BB"/>
    <w:rsid w:val="00D75D6F"/>
    <w:rsid w:val="00E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4CE5"/>
  <w15:chartTrackingRefBased/>
  <w15:docId w15:val="{BDC3C23A-5265-4056-A3E8-0F5103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1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11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1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11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11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11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11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11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115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F1152"/>
    <w:pPr>
      <w:spacing w:after="0" w:line="240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1152"/>
    <w:rPr>
      <w:rFonts w:eastAsiaTheme="minorEastAsia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Nanotecnología y Biotecnología</dc:title>
  <dc:subject>Clase 5</dc:subject>
  <dc:creator>COVARRUBIAS FLORES, KENIA ARELI</dc:creator>
  <cp:keywords/>
  <dc:description/>
  <cp:lastModifiedBy>Kenia Covarrubias</cp:lastModifiedBy>
  <cp:revision>3</cp:revision>
  <cp:lastPrinted>2024-09-01T04:48:00Z</cp:lastPrinted>
  <dcterms:created xsi:type="dcterms:W3CDTF">2024-09-01T04:23:00Z</dcterms:created>
  <dcterms:modified xsi:type="dcterms:W3CDTF">2024-09-15T05:08:00Z</dcterms:modified>
</cp:coreProperties>
</file>